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73" w:rsidRPr="0082100A" w:rsidRDefault="00090C73" w:rsidP="0082100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82100A">
        <w:rPr>
          <w:rFonts w:ascii="Times New Roman" w:hAnsi="Times New Roman" w:cs="Times New Roman"/>
          <w:b/>
          <w:sz w:val="24"/>
          <w:szCs w:val="24"/>
          <w:u w:val="single"/>
        </w:rPr>
        <w:t>ПАМЯТКА</w:t>
      </w:r>
    </w:p>
    <w:bookmarkEnd w:id="0"/>
    <w:p w:rsidR="00090C73" w:rsidRPr="005D2A4C" w:rsidRDefault="00090C73" w:rsidP="005D2A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A4C">
        <w:rPr>
          <w:rFonts w:ascii="Times New Roman" w:hAnsi="Times New Roman" w:cs="Times New Roman"/>
          <w:b/>
          <w:sz w:val="24"/>
          <w:szCs w:val="24"/>
        </w:rPr>
        <w:t>О порядке привлече</w:t>
      </w:r>
      <w:r w:rsidR="0082100A" w:rsidRPr="005D2A4C">
        <w:rPr>
          <w:rFonts w:ascii="Times New Roman" w:hAnsi="Times New Roman" w:cs="Times New Roman"/>
          <w:b/>
          <w:sz w:val="24"/>
          <w:szCs w:val="24"/>
        </w:rPr>
        <w:t>ния добровольных пожертвований  МДОУ «Детский сад № 98</w:t>
      </w:r>
      <w:r w:rsidRPr="005D2A4C">
        <w:rPr>
          <w:rFonts w:ascii="Times New Roman" w:hAnsi="Times New Roman" w:cs="Times New Roman"/>
          <w:b/>
          <w:sz w:val="24"/>
          <w:szCs w:val="24"/>
        </w:rPr>
        <w:t>»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100A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82100A">
        <w:rPr>
          <w:rFonts w:ascii="Times New Roman" w:hAnsi="Times New Roman" w:cs="Times New Roman"/>
          <w:sz w:val="24"/>
          <w:szCs w:val="24"/>
        </w:rPr>
        <w:t xml:space="preserve"> в соответствии с Законом Российской Федерации «Об образовании», Федеральным Законом «О благотворительной деятельности и благотворительных организациях», в целях упорядочения процедуры привлечения добровольных пожертвований и целевых взносов физических и юридических лиц, установления надлежащего контроля за их целевым использованием, исключения коррупционной составляющей в действиях со</w:t>
      </w:r>
      <w:r w:rsidR="0082100A">
        <w:rPr>
          <w:rFonts w:ascii="Times New Roman" w:hAnsi="Times New Roman" w:cs="Times New Roman"/>
          <w:sz w:val="24"/>
          <w:szCs w:val="24"/>
        </w:rPr>
        <w:t>трудников МДОУ «Детский сад № 98</w:t>
      </w:r>
      <w:r w:rsidRPr="0082100A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Добровольными пожертвованиями физических и (или) юридических лиц являются добровольные взносы родителей, спонсорская помощь организаций, учреждений, предприятий, любая добровольная деятельность граждан или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 </w:t>
      </w:r>
    </w:p>
    <w:p w:rsidR="00090C73" w:rsidRPr="0082100A" w:rsidRDefault="0082100A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основанииУстава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МДОУ «Детский сад № 98 </w:t>
      </w:r>
      <w:r w:rsidR="00090C73" w:rsidRPr="0082100A">
        <w:rPr>
          <w:rFonts w:ascii="Times New Roman" w:hAnsi="Times New Roman" w:cs="Times New Roman"/>
          <w:sz w:val="24"/>
          <w:szCs w:val="24"/>
        </w:rPr>
        <w:t xml:space="preserve">»добровольные пожертвования и целевые взносы юридических и физических лиц являются одним из источников формирования имущества и финансовых ресурсов Учреждения. 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 Пожертвования физических или юридических лиц могут привлекаться образовательным учреждением только на добровольной основе.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Не допускается принуждение граждан или юридических лиц в оказании благотворительной помощи в каких-либо формах, в частности путем: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- направления письменных обращений, в том числе средствами мобильной связи, телефонных звонков родителям воспитанников о необходимости внесения денежных средств и (или) товаров и материалов;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- принятия решений родительских собраний, обязывающих внесение денежных средств.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При намерении оказать благотворительную помощь физическое или юридическое лицо информирует Учреждение о целях её осуществления (на текущий ремонт, укрепление материально-технической базы, проведение мероприятий по укреплению здоровья детей и т.д.). Расходование привлеченных средств образовательным учреждением должно производиться в соответствии с целевым назначением взноса. Использование привлеченных средств должно осуществляться на основе сметы расходов, трудового соглашения и актов выполненных работ.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lastRenderedPageBreak/>
        <w:t>Прием средств - производится на основании письменного заявления благотворителя на имя рук</w:t>
      </w:r>
      <w:r w:rsidR="0082100A">
        <w:rPr>
          <w:rFonts w:ascii="Times New Roman" w:hAnsi="Times New Roman" w:cs="Times New Roman"/>
          <w:sz w:val="24"/>
          <w:szCs w:val="24"/>
        </w:rPr>
        <w:t>оводителя МДОУ «Детский сад № 98</w:t>
      </w:r>
      <w:r w:rsidRPr="0082100A">
        <w:rPr>
          <w:rFonts w:ascii="Times New Roman" w:hAnsi="Times New Roman" w:cs="Times New Roman"/>
          <w:sz w:val="24"/>
          <w:szCs w:val="24"/>
        </w:rPr>
        <w:t>» и договора пожертвования, заключаемого в установленном порядке, в котором дол</w:t>
      </w:r>
      <w:r w:rsidR="0082100A">
        <w:rPr>
          <w:rFonts w:ascii="Times New Roman" w:hAnsi="Times New Roman" w:cs="Times New Roman"/>
          <w:sz w:val="24"/>
          <w:szCs w:val="24"/>
        </w:rPr>
        <w:t xml:space="preserve">жны быть отражены: сумма пожертвования, </w:t>
      </w:r>
      <w:r w:rsidRPr="0082100A">
        <w:rPr>
          <w:rFonts w:ascii="Times New Roman" w:hAnsi="Times New Roman" w:cs="Times New Roman"/>
          <w:sz w:val="24"/>
          <w:szCs w:val="24"/>
        </w:rPr>
        <w:t xml:space="preserve"> цель использования средств; реквизиты благотворителя; дата внесения средств. Согласно статьям 1, 420, 421 Гражданского кодекса РФ физические и юридические лица свободны в установлении своих прав и обязанностей на основе договора и в определении любых условий договора, не противоречащих законодательству. Понуждение к заключению договора не допускается. Таким образом, заключение договора пожертвования является добровольным волеизъявлением сторон-участников договора. </w:t>
      </w:r>
      <w:proofErr w:type="gramStart"/>
      <w:r w:rsidRPr="0082100A">
        <w:rPr>
          <w:rFonts w:ascii="Times New Roman" w:hAnsi="Times New Roman" w:cs="Times New Roman"/>
          <w:sz w:val="24"/>
          <w:szCs w:val="24"/>
        </w:rPr>
        <w:t>Поэтому, если гражданин (родитель) по тем или иным причинам не хочет (не может) делать пожертвование (оказать помощь) образовательному учреждению, то он имеет полное право не делать этого, даже если решение о пожертвовании (об оказании помощи) принималось большинством голосов на заседании органа самоуправления образовательного учреждения (родительский комитет, попечительский совет, родительское собрание), и никто - ни родительский комитет, ни воспитатель, ни руководитель образовательного</w:t>
      </w:r>
      <w:proofErr w:type="gramEnd"/>
      <w:r w:rsidRPr="0082100A">
        <w:rPr>
          <w:rFonts w:ascii="Times New Roman" w:hAnsi="Times New Roman" w:cs="Times New Roman"/>
          <w:sz w:val="24"/>
          <w:szCs w:val="24"/>
        </w:rPr>
        <w:t xml:space="preserve"> учреждения - не могут его заставить.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Пожертвованием согласно статье 582 Гражданского кодекса РФ признается дарение вещи или права в общеполезных целях. По договору пожертвования одна сторона безвозмездно передает или обязуется передать другой стороне вещь в собственность или имущественное право (требование) к себе или к третьему лицу в общеполезных целях. Исходя из норм статей 128- 130 ГК РФ предметом пожертвования могут быть как недвижимые вещи, так и движимые вещи.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строительства, а также воздушные и морские суда, суда морского плавания. К движимому имуществу относятся вещи, не относящиеся к недвижимости, включая деньги и ценные бумаги. Таким образом, пожертвование денежной суммы соответствует действующему законодательству.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Добровольные пожертвования могут быть переданы учреждению по безналичному расчету, в натуральном виде, в форме передачи объектов интеллектуальной собственности, с обязательным отражением в учетных регистрах. При передаче денежных взносов по безналичному расчету в платежном документе должно быть указано целевое назначение взноса. Добровольные пожертвования предприятий, организаций и учреждений, денежная помощь родителей вносятся через учреждения банков,  должны учитываться на текущем счете по специальным средствам с указанием целевого назначения взноса.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Пунктом 2 статьи 251 Налогового кодекса РФ определено, что к целевым поступлениям, не учитываемым в целях определения налоговой базы, относятся: любые целевые поступления из бюджета бюджетополучателям; целевые поступления на содержание некоммерческих организаций и ведение ими уставной деятельности, поступившие безвозмездно от других организаций и (или) физических лиц. Таким образом, не облагаются налогом на прибыль средства, поступившие безвозмездно от других организаций и физических лиц, и поступления в виде пожертвования, полученные </w:t>
      </w:r>
      <w:r w:rsidRPr="0082100A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государственным, муниципальными, негосударственными образовательными учреждениями, имеющими лицензию на права ведения образовательной деятельности, на ведение уставной деятельности.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Органы самоуправления в соответствии с их компетенцией могут осуществлять контроль за переданными учреждению средствами. Администрация учреждения обязана представить ежегодный публичный отчет о привлечении и расходовании дополнительных финансовых средств. Данная информация в обязательном порядке должна размещаться на официальном сайте образовательного учреждения.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Не допускается использование добровольных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 Ответственность за целевое использование добровольных пожертвований несет руководитель образовательного учреждения.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На принятие пожертвования не требуется чьего-либо согласия или разрешения. Договор пожертвования, заключенный с нарушением установленных запретов, не действителен как не соответствующий закону (статья 168 ГК РФ).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Действующим законодательством (статья 575 ГК РФ) пожертвование запрещается в следующих случаях, если: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1) договор от имени малолетних и граждан, признанных недееспособными, заключается их законными представителями (опекунами);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2) совершается работникам лечебных, воспитательных учреждений, учреждений социальной защиты и других аналогичных учреждений гражданами, находящимися в них на лечении, содержании или воспитании, супругами и родственниками этих граждан;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3) совершается в отношении государственных служащих и служащих органов муниципальных образований в связи с их должностным положением или в связи с исполнением ими служебных обязанностей;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4) сторонами договора дарения являются коммерческие организации.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Указанные запреты не распространяются на случаи, когда в качестве дара передаются обычные подарки, стоимость которых не превышает пяти МРОТ. Пожертвование может быть осуществлено путем непосредственной передачи имущества, а также путем символической передачи или вручения правоустанавливающих документов.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Согласно статье 574 ГК РФ пожертвование может быть совершено в устной форме, если жертвователями являются физические лица, а также, если жертвователь - юридическое лицо и сумма пожертвованного имущества не превышает пяти установленных законом минимальных </w:t>
      </w:r>
      <w:proofErr w:type="gramStart"/>
      <w:r w:rsidRPr="0082100A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  <w:r w:rsidRPr="0082100A">
        <w:rPr>
          <w:rFonts w:ascii="Times New Roman" w:hAnsi="Times New Roman" w:cs="Times New Roman"/>
          <w:sz w:val="24"/>
          <w:szCs w:val="24"/>
        </w:rPr>
        <w:t xml:space="preserve">. Таким образом, наиболее распространенный вариант принятия пожертвований от физических лиц путем перевода последними денежных средств на лицевой счет бюджетного учреждения может быть заключен в устной форме. Назначение использования имущества может быть указано жертвователем в графе «назначение платежа» при использовании форм банковского перевода. </w:t>
      </w:r>
    </w:p>
    <w:p w:rsidR="00090C73" w:rsidRPr="0082100A" w:rsidRDefault="00090C73" w:rsidP="005D2A4C">
      <w:pPr>
        <w:jc w:val="both"/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90C73" w:rsidRPr="0082100A" w:rsidRDefault="00090C73" w:rsidP="008210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00A">
        <w:rPr>
          <w:rFonts w:ascii="Times New Roman" w:hAnsi="Times New Roman" w:cs="Times New Roman"/>
          <w:b/>
          <w:sz w:val="24"/>
          <w:szCs w:val="24"/>
        </w:rPr>
        <w:t xml:space="preserve">Порядок обжалования неправомерных действий по привлечению дополнительных финансовых средств в МДОУ «Детский </w:t>
      </w:r>
      <w:r w:rsidR="0082100A" w:rsidRPr="0082100A">
        <w:rPr>
          <w:rFonts w:ascii="Times New Roman" w:hAnsi="Times New Roman" w:cs="Times New Roman"/>
          <w:b/>
          <w:sz w:val="24"/>
          <w:szCs w:val="24"/>
        </w:rPr>
        <w:t>сад № 98</w:t>
      </w:r>
      <w:r w:rsidRPr="0082100A">
        <w:rPr>
          <w:rFonts w:ascii="Times New Roman" w:hAnsi="Times New Roman" w:cs="Times New Roman"/>
          <w:b/>
          <w:sz w:val="24"/>
          <w:szCs w:val="24"/>
        </w:rPr>
        <w:t>»</w:t>
      </w:r>
    </w:p>
    <w:p w:rsidR="00090C73" w:rsidRPr="0082100A" w:rsidRDefault="00090C73" w:rsidP="00090C73">
      <w:pPr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В том случае, если под видом добровольных пожертвований сотрудниками или представителями родительской общественности Учреждения допускаются факты принуждения к участию в «благотворительной деятельности» Вы имеете право обратиться с жалобой </w:t>
      </w:r>
      <w:proofErr w:type="gramStart"/>
      <w:r w:rsidRPr="0082100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2100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0C73" w:rsidRPr="0082100A" w:rsidRDefault="00090C73" w:rsidP="00090C73">
      <w:pPr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>Управление образования комитета социального развития Администрации Петрозаводского гор</w:t>
      </w:r>
      <w:r w:rsidR="0082100A">
        <w:rPr>
          <w:rFonts w:ascii="Times New Roman" w:hAnsi="Times New Roman" w:cs="Times New Roman"/>
          <w:sz w:val="24"/>
          <w:szCs w:val="24"/>
        </w:rPr>
        <w:t>одского округа,  адрес</w:t>
      </w:r>
      <w:r w:rsidRPr="0082100A">
        <w:rPr>
          <w:rFonts w:ascii="Times New Roman" w:hAnsi="Times New Roman" w:cs="Times New Roman"/>
          <w:sz w:val="24"/>
          <w:szCs w:val="24"/>
        </w:rPr>
        <w:t xml:space="preserve">: г. Петрозаводск, пр. Ленина, д. 2: </w:t>
      </w:r>
    </w:p>
    <w:p w:rsidR="00090C73" w:rsidRPr="0082100A" w:rsidRDefault="00090C73" w:rsidP="00090C73">
      <w:pPr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кабинет 428, телефон: (8142) 71-33-10 </w:t>
      </w:r>
    </w:p>
    <w:p w:rsidR="00090C73" w:rsidRPr="0082100A" w:rsidRDefault="00090C73" w:rsidP="00090C73">
      <w:pPr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кабинет 437, телефон: (8142) 71-34-53. </w:t>
      </w:r>
    </w:p>
    <w:p w:rsidR="00090C73" w:rsidRPr="0082100A" w:rsidRDefault="00090C73" w:rsidP="00090C73">
      <w:pPr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Прием обращений граждан по телефону осуществляется с понедельника по пятницу, с 9.00 до 13.00, с 14.00 до 17.00 (кроме праздничных дней). </w:t>
      </w:r>
    </w:p>
    <w:p w:rsidR="00090C73" w:rsidRPr="0082100A" w:rsidRDefault="00090C73" w:rsidP="00090C73">
      <w:pPr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Управление по надзору и контролю в сфере образования </w:t>
      </w:r>
    </w:p>
    <w:p w:rsidR="00090C73" w:rsidRPr="0082100A" w:rsidRDefault="00090C73" w:rsidP="00090C73">
      <w:pPr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Начальник управления - oov@minedu.karelia.ru. Телефон: (88142) 76-91-42 </w:t>
      </w:r>
    </w:p>
    <w:p w:rsidR="00090C73" w:rsidRPr="0082100A" w:rsidRDefault="00090C73" w:rsidP="00090C73">
      <w:pPr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Отдел надзора за исполнением законодательства в сфере образования </w:t>
      </w:r>
    </w:p>
    <w:p w:rsidR="00090C73" w:rsidRPr="0082100A" w:rsidRDefault="00090C73" w:rsidP="00090C73">
      <w:pPr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Начальник отдела - </w:t>
      </w:r>
      <w:proofErr w:type="spellStart"/>
      <w:r w:rsidRPr="0082100A">
        <w:rPr>
          <w:rFonts w:ascii="Times New Roman" w:hAnsi="Times New Roman" w:cs="Times New Roman"/>
          <w:sz w:val="24"/>
          <w:szCs w:val="24"/>
        </w:rPr>
        <w:t>Шамовнева</w:t>
      </w:r>
      <w:proofErr w:type="spellEnd"/>
      <w:r w:rsidRPr="0082100A">
        <w:rPr>
          <w:rFonts w:ascii="Times New Roman" w:hAnsi="Times New Roman" w:cs="Times New Roman"/>
          <w:sz w:val="24"/>
          <w:szCs w:val="24"/>
        </w:rPr>
        <w:t xml:space="preserve"> Светлана Станиславовна licenzia@minedu.karelia.ru. Телефон: (88142) 76-91-51 </w:t>
      </w:r>
    </w:p>
    <w:p w:rsidR="00090C73" w:rsidRPr="0082100A" w:rsidRDefault="00090C73" w:rsidP="00090C73">
      <w:pPr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 xml:space="preserve">Специалисты отдела: Телефоны: (88142) 71-73-13 (88142) 71-73-21 </w:t>
      </w:r>
    </w:p>
    <w:p w:rsidR="00B31937" w:rsidRPr="0082100A" w:rsidRDefault="00090C73" w:rsidP="00090C73">
      <w:pPr>
        <w:rPr>
          <w:rFonts w:ascii="Times New Roman" w:hAnsi="Times New Roman" w:cs="Times New Roman"/>
          <w:sz w:val="24"/>
          <w:szCs w:val="24"/>
        </w:rPr>
      </w:pPr>
      <w:r w:rsidRPr="0082100A">
        <w:rPr>
          <w:rFonts w:ascii="Times New Roman" w:hAnsi="Times New Roman" w:cs="Times New Roman"/>
          <w:sz w:val="24"/>
          <w:szCs w:val="24"/>
        </w:rPr>
        <w:t>Прием ведется в Министерстве образования Республики Карелия по адресу: г. Петрозаводск, пр. Ленина, 24</w:t>
      </w:r>
    </w:p>
    <w:sectPr w:rsidR="00B31937" w:rsidRPr="0082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43"/>
    <w:rsid w:val="00090C73"/>
    <w:rsid w:val="005D2A4C"/>
    <w:rsid w:val="00661243"/>
    <w:rsid w:val="0082100A"/>
    <w:rsid w:val="00B3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1467</Words>
  <Characters>8365</Characters>
  <Application>Microsoft Office Word</Application>
  <DocSecurity>0</DocSecurity>
  <Lines>69</Lines>
  <Paragraphs>19</Paragraphs>
  <ScaleCrop>false</ScaleCrop>
  <Company/>
  <LinksUpToDate>false</LinksUpToDate>
  <CharactersWithSpaces>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2013-10-31T06:40:00Z</dcterms:created>
  <dcterms:modified xsi:type="dcterms:W3CDTF">2013-10-31T07:13:00Z</dcterms:modified>
</cp:coreProperties>
</file>